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E468" w14:textId="77777777" w:rsidR="00A47D55" w:rsidRPr="00A47D55" w:rsidRDefault="00A47D55" w:rsidP="00A47D55">
      <w:pPr>
        <w:shd w:val="clear" w:color="auto" w:fill="FFFFFF"/>
        <w:spacing w:before="300" w:after="150" w:line="240" w:lineRule="auto"/>
        <w:jc w:val="center"/>
        <w:outlineLvl w:val="1"/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</w:pPr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“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Bədən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tərbiyəsi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və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idman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haqqında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”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Azərbaycan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Respublikası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Qanunun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tətbiq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edilməsi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</w:t>
      </w:r>
      <w:proofErr w:type="spellStart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>barədə</w:t>
      </w:r>
      <w:proofErr w:type="spellEnd"/>
      <w:r w:rsidRPr="00A47D55">
        <w:rPr>
          <w:rFonts w:ascii="Alright Sans" w:eastAsia="Times New Roman" w:hAnsi="Alright Sans" w:cs="Times New Roman"/>
          <w:b/>
          <w:bCs/>
          <w:color w:val="333333"/>
          <w:sz w:val="48"/>
          <w:szCs w:val="48"/>
          <w:lang w:eastAsia="en-GB"/>
        </w:rPr>
        <w:t xml:space="preserve"> AZƏRBAYCAN RESPUBLİKASI PREZİDENTİNİN FƏRMANI</w:t>
      </w:r>
    </w:p>
    <w:p w14:paraId="5D41675C" w14:textId="77777777" w:rsidR="00A47D55" w:rsidRPr="00A47D55" w:rsidRDefault="00A47D55" w:rsidP="00A47D55">
      <w:pPr>
        <w:shd w:val="clear" w:color="auto" w:fill="FFFFFF"/>
        <w:spacing w:after="150" w:line="240" w:lineRule="auto"/>
        <w:rPr>
          <w:rFonts w:ascii="Alright Sans" w:eastAsia="Times New Roman" w:hAnsi="Alright Sans" w:cs="Times New Roman"/>
          <w:color w:val="333333"/>
          <w:sz w:val="21"/>
          <w:szCs w:val="21"/>
          <w:lang w:eastAsia="en-GB"/>
        </w:rPr>
      </w:pPr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“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haqqında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”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Respublikası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Qanununun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tətbiq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edilməsi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n-GB"/>
        </w:rPr>
        <w:t xml:space="preserve"> AZƏRBAYCAN RESPUBLİKASI PREZİDENTİNİN FƏRMANI</w:t>
      </w:r>
    </w:p>
    <w:p w14:paraId="31271EBF" w14:textId="77777777" w:rsidR="00A47D55" w:rsidRPr="00A47D55" w:rsidRDefault="00A47D55" w:rsidP="00A47D55">
      <w:pPr>
        <w:shd w:val="clear" w:color="auto" w:fill="FFFFFF"/>
        <w:spacing w:after="150" w:line="240" w:lineRule="auto"/>
        <w:rPr>
          <w:rFonts w:ascii="Alright Sans" w:eastAsia="Times New Roman" w:hAnsi="Alright Sans" w:cs="Times New Roman"/>
          <w:color w:val="333333"/>
          <w:sz w:val="21"/>
          <w:szCs w:val="21"/>
          <w:lang w:eastAsia="en-GB"/>
        </w:rPr>
      </w:pPr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haqqında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”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Respublikası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Qanununun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qüvvəyə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minməsi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ilə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əlaqədar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tətbiq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edilməsini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etmək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məqsədi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ilə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qərara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alıram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: </w:t>
      </w:r>
    </w:p>
    <w:p w14:paraId="44D3558F" w14:textId="77777777" w:rsidR="00A47D55" w:rsidRPr="00A47D55" w:rsidRDefault="00A47D55" w:rsidP="00A47D55">
      <w:pPr>
        <w:shd w:val="clear" w:color="auto" w:fill="FFFFFF"/>
        <w:spacing w:after="0" w:line="240" w:lineRule="auto"/>
        <w:rPr>
          <w:rFonts w:ascii="Alright Sans" w:eastAsia="Times New Roman" w:hAnsi="Alright Sans" w:cs="Times New Roman"/>
          <w:color w:val="333333"/>
          <w:sz w:val="21"/>
          <w:szCs w:val="21"/>
          <w:lang w:eastAsia="en-GB"/>
        </w:rPr>
      </w:pP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Kabinetinə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tapşırılsın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ki,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üç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ay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müddətində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: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1.1.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qüvvədə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olan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qanunvericilik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aktlarının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haqqında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”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uyğunlaşdırılması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təkliflərini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hazırlayıb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təqdim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1.2.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Kabinetinin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mərkəzi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normativ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hüquqi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aktlarının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uyğunlaşdırılmasını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1.3.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haqqında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”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pozulmasına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görə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məsuliyyət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növlərini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qanunvericilik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aktının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layihəsini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hazırlayıb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təqdim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1.4.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10.3-cü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birinci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cümləsində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ictimai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birliklərə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federasiyası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statusunun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verilməsi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üçün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onların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akkreditasiyası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qaydasını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1.5.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12.2-ci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hüquqi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şəxs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statusu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olmayan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klubu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haqqında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nümunəvi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əsasnaməni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təsdiq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1.6.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19.8-ci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hərbi-tətbiqi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xidməti-tətbiqi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növlərinin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siyahısını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1.7.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29.3-cü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milli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yığma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komandaların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maddi-texniki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elmi-metodiki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tibbi-bioloji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tibbi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antidopinq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təminatı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qaydasını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1.8.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34.2-ci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ölkə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ərazisində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yayılan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növlərinin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fənlərinin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tanınması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qaydalarını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təsdiq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1.9.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35.1-ci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federasiyalarının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reyestrinin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aparılması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qaydalarını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1.10.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36.1-ci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növlərinin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reyestrinin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aparılması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qaydalarını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1.11.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37.1-ci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sahəsində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adları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dərəcələri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məşqçilərin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təsnifat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kateqoriyaları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hakimlərinin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təsnifat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dərəcələrini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1.12.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39.3-cü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beynəlxalq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miqyaslı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tədbirlərinin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Vahid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təqvim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planına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daxil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edilmiş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tədbirlərinin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yarışlarının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maliyyələşdirilməsi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qaydalarını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tədbirlərin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təşkili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keçirilməsinə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ayrılan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xərclərin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normalarını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təsdiq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lastRenderedPageBreak/>
        <w:t xml:space="preserve">1.13.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58.2-ci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idmançılara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təqaüdlərin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digər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ödənişlərin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verilməsi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meyarları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qaydalarını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1.14.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58.4-cü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birinci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cümləsində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tərbiyəsi-idman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təşkilatlarında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xidmətləri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güzəştli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şərtlərlə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göstərilən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bəzi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kateqoriyadan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olan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şəxslərin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siyahısını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1.15.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58.4-cü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ikinci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cümləsində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tərbiyəsi-idman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təşkilatlarında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göstərilən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xidmətlərinə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güzəştlərin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siyahısını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onların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həcmini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bu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barədə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məlumat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versin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1.16.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öz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daxilində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haqqında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”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Qanunundan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irəli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gələn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digər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məsələləri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həll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etsin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.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Müəyyən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edilsin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ki: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2.1.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haqqında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”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10.3-cü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birinci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cümləsində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12.2-ci, 19.8-ci, 29.3-cü, 34.2-ci, 35.1-ci, 36.1-ci, 37.1-ci, 39.3-cü, 58.2-ci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58.4-cü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birinci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ikinci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cümlələrində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Kabineti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2.2.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1.0.16-cı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10.3-cü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ikinci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cümləsində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15.3-cü, 16.6.4-cü, 28.2.3-cü, 28.3-cü, 29.2-ci, 30.1-ci, 30.2-ci, 30.4-cü, 31.1-ci, 31.4-cü, 34.1-ci, 36.2-ci, 37.2-ci, 38.1-ci, 38.2-ci, 38.3-cü, 38.4-cü, 39.2-ci, 41.1-ci, 41.2-ci, 41.3-cü, 44.3-cü, 45.3-cü, 45.4-cü, 47.1-ci, 48.3-cü, 49.1-ci, 51.5-ci, 56.2-ci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61.5-ci (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iki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halda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)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Gənclər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2.3.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4.0.24-cü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(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iki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halda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)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Statistika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Komitəsi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2.4.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13.1-ci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23.2.1-ci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Gənclər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Təhsil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Səhiyyə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Ailə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Qadın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Uşaq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Problemləri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üzrə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Komitəsi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2.5.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17.8-ci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Təhsil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2.6.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18.0-cı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Səhiyyə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2.7.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19.1-ci, 19.2-ci, 19.5-ci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19.6-cı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orqanları”nın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Müdafiə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Milli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Təhlükəsizlik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Daxili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İşlər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Ədliyyə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Fövqəladə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Hallar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Gömrük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Komitəsi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Xüsusi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Mühafizə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Sərhəd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Miqrasiya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Kabineti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yanında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Feldyeger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öz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daxilində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2.8.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19.7-ci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birinci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ikinci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cümlələrində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Müdafiə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2.9.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20.3-cü, 20.5-ci, 52.4-cü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52.5-ci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yerli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2.10.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22.2-ci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22.7-ci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Əmək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Əhalinin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Sosial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Müdafiəsi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Gənclər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2.11.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22.3-cü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Əmək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Əhalinin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Sosial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Müdafiəsi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Gənclər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Səhiyyə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2.12.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25.3-cü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25.5-ci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Gənclər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Təhsil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birlikdə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2.13.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30.3-cü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Gənclər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Səhiyyə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2.14.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38.3-cü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39.2-ci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maddələrində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lastRenderedPageBreak/>
        <w:t>orqanları”nın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Təhsil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Müdafiə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Milli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Təhlükəsizlik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Daxili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İşlər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Ədliyyə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Fövqəladə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Hallar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Gömrük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Komitəsi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Xüsusi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Mühafizə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Sərhəd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Miqrasiya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Kabineti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yanında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Feldyeger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Xidməti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2.15.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40.5-ci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Daxili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İşlər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2.16.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47.2-ci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Gənclər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yerli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2.17.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52.7-ci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Standartlaşdırma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Metrologiya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Patent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üzrə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Dövlət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Komitəsi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;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2.18.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həmin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52.10-cu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maddəsində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nəzərdə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tutulmuş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müvafiq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orqanları”nın</w:t>
      </w:r>
      <w:proofErr w:type="spellEnd"/>
      <w:proofErr w:type="gram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səlahiyyətlərini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mərkəzi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yerli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icra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hakimiyyəti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orqanları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keçirirlər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.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3.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Gənclər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İdman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Nazirliyinə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tapşırılsın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ki, “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Bədən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tərbiyəsi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və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idman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haqqında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”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Qanununun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həyata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keçirilməsi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üçün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öz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səlahiyyətləri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daxilində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lazımi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tədbirləri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görsün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.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İlham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Əliyev</w:t>
      </w:r>
      <w:proofErr w:type="spellEnd"/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Azərbaycan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Respublikasının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Prezidenti</w:t>
      </w:r>
      <w:proofErr w:type="spellEnd"/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t> </w:t>
      </w:r>
      <w:r w:rsidRPr="00A47D55">
        <w:rPr>
          <w:rFonts w:ascii="Alright Sans" w:eastAsia="Times New Roman" w:hAnsi="Alright Sans" w:cs="Arial"/>
          <w:color w:val="333333"/>
          <w:sz w:val="20"/>
          <w:szCs w:val="20"/>
          <w:lang w:val="en-US" w:eastAsia="en-GB"/>
        </w:rPr>
        <w:br/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Bakı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şəhəri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, 27 </w:t>
      </w:r>
      <w:proofErr w:type="spellStart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>avqust</w:t>
      </w:r>
      <w:proofErr w:type="spellEnd"/>
      <w:r w:rsidRPr="00A47D55">
        <w:rPr>
          <w:rFonts w:ascii="Arial" w:eastAsia="Times New Roman" w:hAnsi="Arial" w:cs="Arial"/>
          <w:color w:val="333333"/>
          <w:sz w:val="20"/>
          <w:szCs w:val="20"/>
          <w:lang w:val="en-US" w:eastAsia="en-GB"/>
        </w:rPr>
        <w:t xml:space="preserve"> 2009-cu il.</w:t>
      </w:r>
    </w:p>
    <w:p w14:paraId="5003CF0B" w14:textId="77777777" w:rsidR="00BB310F" w:rsidRDefault="00BB310F"/>
    <w:sectPr w:rsidR="00BB3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right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55"/>
    <w:rsid w:val="00A47D55"/>
    <w:rsid w:val="00B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C989"/>
  <w15:chartTrackingRefBased/>
  <w15:docId w15:val="{3AC3B359-90A4-4122-84AE-68308146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2">
    <w:name w:val="heading 2"/>
    <w:basedOn w:val="Normal"/>
    <w:link w:val="Balq2Simvol"/>
    <w:uiPriority w:val="9"/>
    <w:qFormat/>
    <w:rsid w:val="00A47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customStyle="1" w:styleId="Balq2Simvol">
    <w:name w:val="Başlıq 2 Simvol"/>
    <w:basedOn w:val="SusmayagrAbzasrifti"/>
    <w:link w:val="Balq2"/>
    <w:uiPriority w:val="9"/>
    <w:rsid w:val="00A47D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Veb">
    <w:name w:val="Normal (Web)"/>
    <w:basedOn w:val="Normal"/>
    <w:uiPriority w:val="99"/>
    <w:semiHidden/>
    <w:unhideWhenUsed/>
    <w:rsid w:val="00A4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cl">
    <w:name w:val="Strong"/>
    <w:basedOn w:val="SusmayagrAbzasrifti"/>
    <w:uiPriority w:val="22"/>
    <w:qFormat/>
    <w:rsid w:val="00A47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Karimova</dc:creator>
  <cp:keywords/>
  <dc:description/>
  <cp:lastModifiedBy>Lala Karimova</cp:lastModifiedBy>
  <cp:revision>1</cp:revision>
  <dcterms:created xsi:type="dcterms:W3CDTF">2023-09-22T05:48:00Z</dcterms:created>
  <dcterms:modified xsi:type="dcterms:W3CDTF">2023-09-22T05:48:00Z</dcterms:modified>
</cp:coreProperties>
</file>